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0B" w:rsidRPr="00D6511E" w:rsidRDefault="00CE4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8169034" wp14:editId="44A6FDF2">
            <wp:extent cx="716290" cy="923925"/>
            <wp:effectExtent l="0" t="0" r="762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 through H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35" cy="93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EB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D6511E">
        <w:rPr>
          <w:rFonts w:ascii="Century Gothic" w:eastAsia="Calibri" w:hAnsi="Century Gothic" w:cs="Calibri"/>
          <w:b/>
          <w:color w:val="000000"/>
          <w:sz w:val="24"/>
          <w:szCs w:val="24"/>
          <w:u w:val="single"/>
        </w:rPr>
        <w:t xml:space="preserve">Holy Cross Catholic Primary </w:t>
      </w:r>
      <w:r w:rsidR="00D84EB2" w:rsidRPr="00D6511E">
        <w:rPr>
          <w:rFonts w:ascii="Century Gothic" w:eastAsia="Calibri" w:hAnsi="Century Gothic" w:cs="Calibri"/>
          <w:b/>
          <w:color w:val="000000"/>
          <w:sz w:val="24"/>
          <w:szCs w:val="24"/>
          <w:u w:val="single"/>
        </w:rPr>
        <w:t>School Prevent Duty Risk Assessment Form – 202</w:t>
      </w:r>
      <w:r w:rsidR="00D84EB2" w:rsidRPr="00D6511E">
        <w:rPr>
          <w:rFonts w:ascii="Century Gothic" w:eastAsia="Calibri" w:hAnsi="Century Gothic" w:cs="Calibri"/>
          <w:b/>
          <w:sz w:val="24"/>
          <w:szCs w:val="24"/>
          <w:u w:val="single"/>
        </w:rPr>
        <w:t>1</w:t>
      </w:r>
      <w:r w:rsidR="00D84EB2" w:rsidRPr="00D6511E">
        <w:rPr>
          <w:rFonts w:ascii="Century Gothic" w:eastAsia="Calibri" w:hAnsi="Century Gothic" w:cs="Calibri"/>
          <w:b/>
          <w:color w:val="000000"/>
          <w:sz w:val="24"/>
          <w:szCs w:val="24"/>
          <w:u w:val="single"/>
        </w:rPr>
        <w:t xml:space="preserve"> - 202</w:t>
      </w:r>
      <w:r w:rsidR="00D84EB2" w:rsidRPr="00D6511E">
        <w:rPr>
          <w:rFonts w:ascii="Century Gothic" w:eastAsia="Calibri" w:hAnsi="Century Gothic" w:cs="Calibri"/>
          <w:b/>
          <w:sz w:val="24"/>
          <w:szCs w:val="24"/>
          <w:u w:val="single"/>
        </w:rPr>
        <w:t>2</w:t>
      </w:r>
      <w:r w:rsidR="00D84EB2" w:rsidRPr="00D6511E">
        <w:rPr>
          <w:rFonts w:ascii="Century Gothic" w:eastAsia="Calibri" w:hAnsi="Century Gothic" w:cs="Calibri"/>
          <w:color w:val="000000"/>
          <w:sz w:val="24"/>
          <w:szCs w:val="24"/>
        </w:rPr>
        <w:t xml:space="preserve"> </w:t>
      </w:r>
    </w:p>
    <w:p w:rsidR="00CE444E" w:rsidRPr="00D6511E" w:rsidRDefault="00CE4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alibri" w:hAnsi="Century Gothic" w:cs="Calibri"/>
          <w:color w:val="000000"/>
          <w:sz w:val="24"/>
          <w:szCs w:val="24"/>
        </w:rPr>
      </w:pPr>
    </w:p>
    <w:p w:rsidR="0077200B" w:rsidRPr="00D6511E" w:rsidRDefault="00D84EB2" w:rsidP="00CE444E">
      <w:pPr>
        <w:pStyle w:val="NoSpacing"/>
        <w:rPr>
          <w:rFonts w:ascii="Century Gothic" w:hAnsi="Century Gothic"/>
          <w:sz w:val="20"/>
          <w:szCs w:val="20"/>
        </w:rPr>
      </w:pPr>
      <w:r w:rsidRPr="00D6511E">
        <w:rPr>
          <w:rFonts w:ascii="Century Gothic" w:hAnsi="Century Gothic"/>
          <w:b/>
          <w:sz w:val="20"/>
          <w:szCs w:val="20"/>
        </w:rPr>
        <w:t xml:space="preserve">Prevent Duty- Risk Assessment </w:t>
      </w:r>
      <w:r w:rsidRPr="00D6511E">
        <w:rPr>
          <w:rFonts w:ascii="Century Gothic" w:hAnsi="Century Gothic"/>
          <w:sz w:val="20"/>
          <w:szCs w:val="20"/>
        </w:rPr>
        <w:t>Written with reference to Keeping Children Safe in Education 202</w:t>
      </w:r>
      <w:r w:rsidRPr="00D6511E">
        <w:rPr>
          <w:rFonts w:ascii="Century Gothic" w:hAnsi="Century Gothic"/>
          <w:sz w:val="20"/>
          <w:szCs w:val="20"/>
        </w:rPr>
        <w:t>1</w:t>
      </w:r>
      <w:r w:rsidRPr="00D6511E">
        <w:rPr>
          <w:rFonts w:ascii="Century Gothic" w:hAnsi="Century Gothic"/>
          <w:sz w:val="20"/>
          <w:szCs w:val="20"/>
        </w:rPr>
        <w:t xml:space="preserve"> and The </w:t>
      </w:r>
      <w:proofErr w:type="gramStart"/>
      <w:r w:rsidRPr="00D6511E">
        <w:rPr>
          <w:rFonts w:ascii="Century Gothic" w:hAnsi="Century Gothic"/>
          <w:sz w:val="20"/>
          <w:szCs w:val="20"/>
        </w:rPr>
        <w:t>Prevent  Duty</w:t>
      </w:r>
      <w:proofErr w:type="gramEnd"/>
      <w:r w:rsidRPr="00D6511E">
        <w:rPr>
          <w:rFonts w:ascii="Century Gothic" w:hAnsi="Century Gothic"/>
          <w:sz w:val="20"/>
          <w:szCs w:val="20"/>
        </w:rPr>
        <w:t xml:space="preserve"> Guidance; duty in the Counter Terrorism and Security Act 2015 to have due regard to the need to prevent people  being drawn into terrorism.</w:t>
      </w:r>
    </w:p>
    <w:p w:rsidR="00CE444E" w:rsidRPr="00D6511E" w:rsidRDefault="00CE444E" w:rsidP="00CE444E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3162"/>
        <w:gridCol w:w="4215"/>
        <w:gridCol w:w="1012"/>
        <w:gridCol w:w="3303"/>
      </w:tblGrid>
      <w:tr w:rsidR="0077200B" w:rsidRPr="00D6511E" w:rsidTr="00D6511E">
        <w:trPr>
          <w:trHeight w:val="938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D6511E">
              <w:rPr>
                <w:rFonts w:ascii="Century Gothic" w:hAnsi="Century Gothic"/>
                <w:b/>
                <w:sz w:val="24"/>
                <w:szCs w:val="24"/>
              </w:rPr>
              <w:t xml:space="preserve">Identified Hazard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D6511E">
              <w:rPr>
                <w:rFonts w:ascii="Century Gothic" w:hAnsi="Century Gothic"/>
                <w:b/>
                <w:sz w:val="24"/>
                <w:szCs w:val="24"/>
              </w:rPr>
              <w:t xml:space="preserve">Who is at risk of harm </w:t>
            </w:r>
            <w:r w:rsidRPr="00D6511E">
              <w:rPr>
                <w:rFonts w:ascii="Century Gothic" w:hAnsi="Century Gothic"/>
                <w:b/>
                <w:sz w:val="24"/>
                <w:szCs w:val="24"/>
              </w:rPr>
              <w:t>and how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44E" w:rsidRPr="00D6511E" w:rsidRDefault="00D84EB2" w:rsidP="00CE444E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D6511E">
              <w:rPr>
                <w:rFonts w:ascii="Century Gothic" w:hAnsi="Century Gothic"/>
                <w:b/>
                <w:sz w:val="24"/>
                <w:szCs w:val="24"/>
              </w:rPr>
              <w:t xml:space="preserve">List of existing precautions </w:t>
            </w:r>
          </w:p>
          <w:p w:rsidR="0077200B" w:rsidRPr="00D6511E" w:rsidRDefault="0077200B" w:rsidP="00CE444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D6511E">
              <w:rPr>
                <w:rFonts w:ascii="Century Gothic" w:hAnsi="Century Gothic"/>
                <w:b/>
                <w:sz w:val="24"/>
                <w:szCs w:val="24"/>
              </w:rPr>
              <w:t xml:space="preserve">Risk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D6511E">
              <w:rPr>
                <w:rFonts w:ascii="Century Gothic" w:hAnsi="Century Gothic"/>
                <w:b/>
                <w:sz w:val="24"/>
                <w:szCs w:val="24"/>
              </w:rPr>
              <w:t xml:space="preserve">rating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D6511E">
              <w:rPr>
                <w:rFonts w:ascii="Century Gothic" w:hAnsi="Century Gothic"/>
                <w:b/>
                <w:sz w:val="24"/>
                <w:szCs w:val="24"/>
              </w:rPr>
              <w:t>H/M/L</w:t>
            </w:r>
          </w:p>
        </w:tc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D6511E">
              <w:rPr>
                <w:rFonts w:ascii="Century Gothic" w:hAnsi="Century Gothic"/>
                <w:b/>
                <w:sz w:val="24"/>
                <w:szCs w:val="24"/>
              </w:rPr>
              <w:t xml:space="preserve">Identify additional </w:t>
            </w:r>
            <w:proofErr w:type="gramStart"/>
            <w:r w:rsidRPr="00D6511E">
              <w:rPr>
                <w:rFonts w:ascii="Century Gothic" w:hAnsi="Century Gothic"/>
                <w:b/>
                <w:sz w:val="24"/>
                <w:szCs w:val="24"/>
              </w:rPr>
              <w:t>precautions  needed</w:t>
            </w:r>
            <w:proofErr w:type="gramEnd"/>
          </w:p>
        </w:tc>
      </w:tr>
      <w:tr w:rsidR="0077200B" w:rsidRPr="00D6511E" w:rsidTr="00D6511E">
        <w:trPr>
          <w:trHeight w:val="4647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Children being exposed to </w:t>
            </w:r>
            <w:r w:rsidRPr="00D6511E">
              <w:rPr>
                <w:rFonts w:ascii="Century Gothic" w:hAnsi="Century Gothic"/>
                <w:sz w:val="20"/>
                <w:szCs w:val="20"/>
              </w:rPr>
              <w:t>materials/contact with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individuals which could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draw them into criminal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activity related to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terrorist or extremist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action. </w:t>
            </w:r>
          </w:p>
        </w:tc>
        <w:tc>
          <w:tcPr>
            <w:tcW w:w="3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Potentially all children,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though the following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groups could be more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vulnerable;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Children who find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it difficult to make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friends or sustain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relationships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>Those who have</w:t>
            </w:r>
            <w:r w:rsidR="00D6511E" w:rsidRPr="00D651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D6511E">
              <w:rPr>
                <w:rFonts w:ascii="Century Gothic" w:hAnsi="Century Gothic"/>
                <w:sz w:val="20"/>
                <w:szCs w:val="20"/>
              </w:rPr>
              <w:t>a</w:t>
            </w:r>
            <w:r w:rsidR="00CE444E" w:rsidRPr="00D6511E">
              <w:rPr>
                <w:rFonts w:ascii="Century Gothic" w:hAnsi="Century Gothic"/>
                <w:sz w:val="20"/>
                <w:szCs w:val="20"/>
              </w:rPr>
              <w:t>n</w:t>
            </w:r>
            <w:proofErr w:type="gramEnd"/>
            <w:r w:rsidRPr="00D651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SEND need which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affects their ability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to interact with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others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Individuals/siblings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with a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vulnerability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related to difficult 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All staff alert to risks, all staff have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carried out Prevent training – new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>staff receive at appropriate point</w:t>
            </w:r>
            <w:r w:rsidR="00CE444E" w:rsidRPr="00D6511E">
              <w:rPr>
                <w:rFonts w:ascii="Century Gothic" w:hAnsi="Century Gothic"/>
                <w:sz w:val="20"/>
                <w:szCs w:val="20"/>
              </w:rPr>
              <w:t>/induction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  <w:highlight w:val="yellow"/>
              </w:rPr>
              <w:t>Robust Visiting Speaker policy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ELSA support available to children in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difficult circumstances – to diagnose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need and support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Climate of peer support and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kindness towards others to promote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positive interactions across age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>groups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Low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Low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Low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>Low</w:t>
            </w:r>
          </w:p>
        </w:tc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>Ensure chil</w:t>
            </w:r>
            <w:bookmarkStart w:id="0" w:name="_GoBack"/>
            <w:bookmarkEnd w:id="0"/>
            <w:r w:rsidRPr="00D6511E">
              <w:rPr>
                <w:rFonts w:ascii="Century Gothic" w:hAnsi="Century Gothic"/>
                <w:sz w:val="20"/>
                <w:szCs w:val="20"/>
              </w:rPr>
              <w:t xml:space="preserve">dren meet people from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a variety of racial, cultural,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religious and socio-economic </w:t>
            </w:r>
            <w:r w:rsidRPr="00D6511E">
              <w:rPr>
                <w:rFonts w:ascii="Century Gothic" w:hAnsi="Century Gothic"/>
                <w:sz w:val="20"/>
                <w:szCs w:val="20"/>
              </w:rPr>
              <w:t>contexts in order to have positive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attitudes towards them. These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individuals must be appropriately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checked and supervised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throughout their contact with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children and must be affiliated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with appropriate groups (where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>rel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evant).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Opportunities to explore morality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of actions of others to be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incorporated into worship cycle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(in age-appropriate manner) to </w:t>
            </w:r>
          </w:p>
        </w:tc>
      </w:tr>
    </w:tbl>
    <w:p w:rsidR="0077200B" w:rsidRPr="00D6511E" w:rsidRDefault="0077200B" w:rsidP="00CE444E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a0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9"/>
        <w:gridCol w:w="2641"/>
        <w:gridCol w:w="4215"/>
        <w:gridCol w:w="1012"/>
        <w:gridCol w:w="3303"/>
      </w:tblGrid>
      <w:tr w:rsidR="0077200B" w:rsidRPr="00D6511E" w:rsidTr="00CE444E">
        <w:trPr>
          <w:trHeight w:val="6543"/>
        </w:trPr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77200B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or challenging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family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circumstances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Children with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mental health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difficulties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(diagnosed or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>undiagnosed)</w:t>
            </w: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Peer support available through </w:t>
            </w:r>
            <w:proofErr w:type="gramStart"/>
            <w:r w:rsidRPr="00D6511E">
              <w:rPr>
                <w:rFonts w:ascii="Century Gothic" w:hAnsi="Century Gothic"/>
                <w:sz w:val="20"/>
                <w:szCs w:val="20"/>
              </w:rPr>
              <w:t>Peer  Mentors</w:t>
            </w:r>
            <w:proofErr w:type="gramEnd"/>
            <w:r w:rsidRPr="00D6511E">
              <w:rPr>
                <w:rFonts w:ascii="Century Gothic" w:hAnsi="Century Gothic"/>
                <w:sz w:val="20"/>
                <w:szCs w:val="20"/>
              </w:rPr>
              <w:t xml:space="preserve">, enabling concerns to be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shared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Anti-bullying processes well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embedded to address any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concerning interactions and avoid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patterns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Safeguarding guidance given to </w:t>
            </w:r>
            <w:proofErr w:type="gramStart"/>
            <w:r w:rsidRPr="00D6511E">
              <w:rPr>
                <w:rFonts w:ascii="Century Gothic" w:hAnsi="Century Gothic"/>
                <w:sz w:val="20"/>
                <w:szCs w:val="20"/>
              </w:rPr>
              <w:t>all  visitors</w:t>
            </w:r>
            <w:proofErr w:type="gramEnd"/>
            <w:r w:rsidRPr="00D6511E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Visitors chosen carefully to </w:t>
            </w:r>
            <w:proofErr w:type="gramStart"/>
            <w:r w:rsidRPr="00D6511E">
              <w:rPr>
                <w:rFonts w:ascii="Century Gothic" w:hAnsi="Century Gothic"/>
                <w:sz w:val="20"/>
                <w:szCs w:val="20"/>
              </w:rPr>
              <w:t>enliven  curriculum</w:t>
            </w:r>
            <w:proofErr w:type="gramEnd"/>
            <w:r w:rsidRPr="00D6511E">
              <w:rPr>
                <w:rFonts w:ascii="Century Gothic" w:hAnsi="Century Gothic"/>
                <w:sz w:val="20"/>
                <w:szCs w:val="20"/>
              </w:rPr>
              <w:t xml:space="preserve"> – drawn from known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skills/contexts wherever possible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Visitors always supervised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="00CE444E" w:rsidRPr="00D6511E">
              <w:rPr>
                <w:rFonts w:ascii="Century Gothic" w:hAnsi="Century Gothic"/>
                <w:sz w:val="20"/>
                <w:szCs w:val="20"/>
              </w:rPr>
              <w:t>Robust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firewalls in place </w:t>
            </w:r>
            <w:proofErr w:type="gramStart"/>
            <w:r w:rsidRPr="00D6511E">
              <w:rPr>
                <w:rFonts w:ascii="Century Gothic" w:hAnsi="Century Gothic"/>
                <w:sz w:val="20"/>
                <w:szCs w:val="20"/>
              </w:rPr>
              <w:t>giving  protected</w:t>
            </w:r>
            <w:proofErr w:type="gramEnd"/>
            <w:r w:rsidRPr="00D6511E">
              <w:rPr>
                <w:rFonts w:ascii="Century Gothic" w:hAnsi="Century Gothic"/>
                <w:sz w:val="20"/>
                <w:szCs w:val="20"/>
              </w:rPr>
              <w:t xml:space="preserve"> access to internet;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restricting access to negative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sources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>C</w:t>
            </w:r>
            <w:r w:rsidR="00CE444E" w:rsidRPr="00D6511E">
              <w:rPr>
                <w:rFonts w:ascii="Century Gothic" w:hAnsi="Century Gothic"/>
                <w:sz w:val="20"/>
                <w:szCs w:val="20"/>
              </w:rPr>
              <w:t>atholic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foundation used as central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to teaching with respectful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exploration </w:t>
            </w:r>
            <w:proofErr w:type="gramStart"/>
            <w:r w:rsidRPr="00D6511E">
              <w:rPr>
                <w:rFonts w:ascii="Century Gothic" w:hAnsi="Century Gothic"/>
                <w:sz w:val="20"/>
                <w:szCs w:val="20"/>
              </w:rPr>
              <w:t>o</w:t>
            </w:r>
            <w:r w:rsidR="00CE444E" w:rsidRPr="00D6511E">
              <w:rPr>
                <w:rFonts w:ascii="Century Gothic" w:hAnsi="Century Gothic"/>
                <w:sz w:val="20"/>
                <w:szCs w:val="20"/>
              </w:rPr>
              <w:t xml:space="preserve">f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faith</w:t>
            </w:r>
            <w:proofErr w:type="gramEnd"/>
            <w:r w:rsidRPr="00D6511E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>RE curriculum planned</w:t>
            </w:r>
            <w:r w:rsidR="00CE444E" w:rsidRPr="00D6511E">
              <w:rPr>
                <w:rFonts w:ascii="Century Gothic" w:hAnsi="Century Gothic"/>
                <w:sz w:val="20"/>
                <w:szCs w:val="20"/>
              </w:rPr>
              <w:t xml:space="preserve"> and daily lessons delivered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 in order to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enable children to engage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meaningfully with the beliefs of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others and become interested in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their practices. 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Low 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touch on issues such as peaceful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protest v. criminal action. </w:t>
            </w:r>
          </w:p>
        </w:tc>
      </w:tr>
    </w:tbl>
    <w:p w:rsidR="0077200B" w:rsidRPr="00D6511E" w:rsidRDefault="0077200B" w:rsidP="00CE444E">
      <w:pPr>
        <w:pStyle w:val="NoSpacing"/>
        <w:rPr>
          <w:rFonts w:ascii="Century Gothic" w:hAnsi="Century Gothic"/>
          <w:sz w:val="20"/>
          <w:szCs w:val="20"/>
        </w:rPr>
      </w:pPr>
    </w:p>
    <w:p w:rsidR="0077200B" w:rsidRPr="00D6511E" w:rsidRDefault="0077200B" w:rsidP="00CE444E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a1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9"/>
        <w:gridCol w:w="2641"/>
        <w:gridCol w:w="4215"/>
        <w:gridCol w:w="1012"/>
        <w:gridCol w:w="3303"/>
      </w:tblGrid>
      <w:tr w:rsidR="0077200B" w:rsidRPr="00D6511E" w:rsidTr="00CE444E">
        <w:trPr>
          <w:trHeight w:val="3913"/>
        </w:trPr>
        <w:tc>
          <w:tcPr>
            <w:tcW w:w="2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77200B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77200B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Effective SEN support and support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of additional needs used to address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communication.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Children encouraged through PSHE,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assemblies and behaviour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management to have high regard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for others with personal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understanding of what is right and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wrong in the world.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Children taught to positively </w:t>
            </w:r>
            <w:r w:rsidRPr="00D6511E">
              <w:rPr>
                <w:rFonts w:ascii="Century Gothic" w:hAnsi="Century Gothic"/>
                <w:sz w:val="20"/>
                <w:szCs w:val="20"/>
              </w:rPr>
              <w:t>manage risk through the curriculum</w:t>
            </w:r>
            <w:r w:rsidR="00CE444E" w:rsidRPr="00D6511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>∙</w:t>
            </w:r>
            <w:r w:rsidRPr="00D6511E">
              <w:rPr>
                <w:rFonts w:ascii="Century Gothic" w:eastAsia="Noto Sans Symbols" w:hAnsi="Century Gothic" w:cs="Noto Sans Symbols"/>
                <w:sz w:val="20"/>
                <w:szCs w:val="20"/>
              </w:rPr>
              <w:t xml:space="preserve">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Visitors wear visitor badges so are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easily recognised by children.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Where an individual is working with </w:t>
            </w:r>
            <w:r w:rsidRPr="00D6511E">
              <w:rPr>
                <w:rFonts w:ascii="Century Gothic" w:hAnsi="Century Gothic"/>
                <w:sz w:val="20"/>
                <w:szCs w:val="20"/>
              </w:rPr>
              <w:t xml:space="preserve">a child they are introduced by  </w:t>
            </w:r>
          </w:p>
          <w:p w:rsidR="0077200B" w:rsidRPr="00D6511E" w:rsidRDefault="00D84EB2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6511E">
              <w:rPr>
                <w:rFonts w:ascii="Century Gothic" w:hAnsi="Century Gothic"/>
                <w:sz w:val="20"/>
                <w:szCs w:val="20"/>
              </w:rPr>
              <w:t xml:space="preserve">school staff, e.g. NHS SALT. </w:t>
            </w:r>
          </w:p>
        </w:tc>
        <w:tc>
          <w:tcPr>
            <w:tcW w:w="10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77200B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00B" w:rsidRPr="00D6511E" w:rsidRDefault="0077200B" w:rsidP="00CE444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7200B" w:rsidRPr="00D6511E" w:rsidRDefault="0077200B" w:rsidP="00CE444E">
      <w:pPr>
        <w:pStyle w:val="NoSpacing"/>
        <w:rPr>
          <w:rFonts w:ascii="Century Gothic" w:hAnsi="Century Gothic"/>
          <w:sz w:val="20"/>
          <w:szCs w:val="20"/>
        </w:rPr>
      </w:pPr>
    </w:p>
    <w:p w:rsidR="0077200B" w:rsidRPr="00D6511E" w:rsidRDefault="0077200B" w:rsidP="00CE444E">
      <w:pPr>
        <w:pStyle w:val="NoSpacing"/>
        <w:rPr>
          <w:rFonts w:ascii="Century Gothic" w:hAnsi="Century Gothic"/>
          <w:sz w:val="24"/>
          <w:szCs w:val="24"/>
        </w:rPr>
      </w:pPr>
    </w:p>
    <w:p w:rsidR="0077200B" w:rsidRPr="00D6511E" w:rsidRDefault="00D84EB2" w:rsidP="00CE444E">
      <w:pPr>
        <w:pStyle w:val="NoSpacing"/>
        <w:rPr>
          <w:rFonts w:ascii="Century Gothic" w:hAnsi="Century Gothic"/>
          <w:sz w:val="24"/>
          <w:szCs w:val="24"/>
        </w:rPr>
      </w:pPr>
      <w:r w:rsidRPr="00D6511E">
        <w:rPr>
          <w:rFonts w:ascii="Century Gothic" w:hAnsi="Century Gothic"/>
          <w:b/>
          <w:sz w:val="24"/>
          <w:szCs w:val="24"/>
        </w:rPr>
        <w:t xml:space="preserve">Completed by </w:t>
      </w:r>
      <w:r w:rsidRPr="00D6511E">
        <w:rPr>
          <w:rFonts w:ascii="Century Gothic" w:hAnsi="Century Gothic"/>
          <w:sz w:val="24"/>
          <w:szCs w:val="24"/>
        </w:rPr>
        <w:t xml:space="preserve">Beth Dyer (Head Teacher/DSL), </w:t>
      </w:r>
      <w:r w:rsidR="00CE444E" w:rsidRPr="00D6511E">
        <w:rPr>
          <w:rFonts w:ascii="Century Gothic" w:hAnsi="Century Gothic"/>
          <w:sz w:val="24"/>
          <w:szCs w:val="24"/>
        </w:rPr>
        <w:t>Kerrie Margetts</w:t>
      </w:r>
      <w:r w:rsidRPr="00D6511E">
        <w:rPr>
          <w:rFonts w:ascii="Century Gothic" w:hAnsi="Century Gothic"/>
          <w:sz w:val="24"/>
          <w:szCs w:val="24"/>
        </w:rPr>
        <w:t xml:space="preserve"> (</w:t>
      </w:r>
      <w:r w:rsidR="00CE444E" w:rsidRPr="00D6511E">
        <w:rPr>
          <w:rFonts w:ascii="Century Gothic" w:hAnsi="Century Gothic"/>
          <w:sz w:val="24"/>
          <w:szCs w:val="24"/>
        </w:rPr>
        <w:t>School Business Manager</w:t>
      </w:r>
      <w:r w:rsidRPr="00D6511E">
        <w:rPr>
          <w:rFonts w:ascii="Century Gothic" w:hAnsi="Century Gothic"/>
          <w:sz w:val="24"/>
          <w:szCs w:val="24"/>
        </w:rPr>
        <w:t>/DDSL)</w:t>
      </w:r>
    </w:p>
    <w:sectPr w:rsidR="0077200B" w:rsidRPr="00D6511E">
      <w:pgSz w:w="16820" w:h="11900" w:orient="landscape"/>
      <w:pgMar w:top="1440" w:right="1447" w:bottom="15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B2" w:rsidRDefault="00D84EB2" w:rsidP="00CE444E">
      <w:pPr>
        <w:spacing w:line="240" w:lineRule="auto"/>
      </w:pPr>
      <w:r>
        <w:separator/>
      </w:r>
    </w:p>
  </w:endnote>
  <w:endnote w:type="continuationSeparator" w:id="0">
    <w:p w:rsidR="00D84EB2" w:rsidRDefault="00D84EB2" w:rsidP="00CE4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B2" w:rsidRDefault="00D84EB2" w:rsidP="00CE444E">
      <w:pPr>
        <w:spacing w:line="240" w:lineRule="auto"/>
      </w:pPr>
      <w:r>
        <w:separator/>
      </w:r>
    </w:p>
  </w:footnote>
  <w:footnote w:type="continuationSeparator" w:id="0">
    <w:p w:rsidR="00D84EB2" w:rsidRDefault="00D84EB2" w:rsidP="00CE44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0B"/>
    <w:rsid w:val="0077200B"/>
    <w:rsid w:val="00CE444E"/>
    <w:rsid w:val="00D6511E"/>
    <w:rsid w:val="00D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F328"/>
  <w15:docId w15:val="{DAAD6C58-BDB7-4984-A26D-0F84DF38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CE444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4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4E"/>
  </w:style>
  <w:style w:type="paragraph" w:styleId="Footer">
    <w:name w:val="footer"/>
    <w:basedOn w:val="Normal"/>
    <w:link w:val="FooterChar"/>
    <w:uiPriority w:val="99"/>
    <w:unhideWhenUsed/>
    <w:rsid w:val="00CE44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4E"/>
  </w:style>
  <w:style w:type="paragraph" w:styleId="ListParagraph">
    <w:name w:val="List Paragraph"/>
    <w:basedOn w:val="Normal"/>
    <w:uiPriority w:val="34"/>
    <w:qFormat/>
    <w:rsid w:val="00D6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Margetts</dc:creator>
  <cp:lastModifiedBy>Kerrie Margetts</cp:lastModifiedBy>
  <cp:revision>2</cp:revision>
  <dcterms:created xsi:type="dcterms:W3CDTF">2022-05-10T11:09:00Z</dcterms:created>
  <dcterms:modified xsi:type="dcterms:W3CDTF">2022-05-10T11:09:00Z</dcterms:modified>
</cp:coreProperties>
</file>